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4C2F" w14:textId="77777777" w:rsidR="005645D5" w:rsidRDefault="005645D5" w:rsidP="005645D5">
      <w:pPr>
        <w:pStyle w:val="NormalWeb"/>
        <w:spacing w:before="0" w:beforeAutospacing="0" w:after="0" w:afterAutospacing="0"/>
        <w:rPr>
          <w:rFonts w:ascii="Arial" w:hAnsi="Arial" w:cs="Arial"/>
          <w:i/>
          <w:iCs/>
          <w:sz w:val="20"/>
          <w:szCs w:val="20"/>
        </w:rPr>
      </w:pPr>
    </w:p>
    <w:p w14:paraId="10539DCE" w14:textId="35ADEC62" w:rsidR="007F4217" w:rsidRPr="005645D5" w:rsidRDefault="007F4217" w:rsidP="007C7308">
      <w:pPr>
        <w:pStyle w:val="NormalWeb"/>
        <w:spacing w:before="0" w:beforeAutospacing="0"/>
        <w:rPr>
          <w:rFonts w:ascii="Arial" w:hAnsi="Arial" w:cs="Arial"/>
          <w:i/>
          <w:iCs/>
          <w:sz w:val="20"/>
          <w:szCs w:val="20"/>
        </w:rPr>
      </w:pPr>
      <w:r w:rsidRPr="005645D5">
        <w:rPr>
          <w:rFonts w:ascii="Arial" w:hAnsi="Arial" w:cs="Arial"/>
          <w:i/>
          <w:iCs/>
          <w:sz w:val="20"/>
          <w:szCs w:val="20"/>
        </w:rPr>
        <w:t xml:space="preserve">To assist you </w:t>
      </w:r>
      <w:r w:rsidR="005645D5" w:rsidRPr="005645D5">
        <w:rPr>
          <w:rFonts w:ascii="Arial" w:hAnsi="Arial" w:cs="Arial"/>
          <w:i/>
          <w:iCs/>
          <w:sz w:val="20"/>
          <w:szCs w:val="20"/>
        </w:rPr>
        <w:t>in</w:t>
      </w:r>
      <w:r w:rsidRPr="005645D5">
        <w:rPr>
          <w:rFonts w:ascii="Arial" w:hAnsi="Arial" w:cs="Arial"/>
          <w:i/>
          <w:iCs/>
          <w:sz w:val="20"/>
          <w:szCs w:val="20"/>
        </w:rPr>
        <w:t xml:space="preserve"> contact</w:t>
      </w:r>
      <w:r w:rsidR="005645D5" w:rsidRPr="005645D5">
        <w:rPr>
          <w:rFonts w:ascii="Arial" w:hAnsi="Arial" w:cs="Arial"/>
          <w:i/>
          <w:iCs/>
          <w:sz w:val="20"/>
          <w:szCs w:val="20"/>
        </w:rPr>
        <w:t>ing</w:t>
      </w:r>
      <w:r w:rsidRPr="005645D5">
        <w:rPr>
          <w:rFonts w:ascii="Arial" w:hAnsi="Arial" w:cs="Arial"/>
          <w:i/>
          <w:iCs/>
          <w:sz w:val="20"/>
          <w:szCs w:val="20"/>
        </w:rPr>
        <w:t xml:space="preserve"> your local </w:t>
      </w:r>
      <w:hyperlink r:id="rId7" w:history="1">
        <w:r w:rsidRPr="005645D5">
          <w:rPr>
            <w:rStyle w:val="Hyperlink"/>
            <w:rFonts w:ascii="Arial" w:hAnsi="Arial" w:cs="Arial"/>
            <w:i/>
            <w:iCs/>
            <w:sz w:val="20"/>
            <w:szCs w:val="20"/>
          </w:rPr>
          <w:t>Member of Parliament</w:t>
        </w:r>
      </w:hyperlink>
      <w:r w:rsidRPr="005645D5">
        <w:rPr>
          <w:rFonts w:ascii="Arial" w:hAnsi="Arial" w:cs="Arial"/>
          <w:i/>
          <w:iCs/>
          <w:sz w:val="20"/>
          <w:szCs w:val="20"/>
        </w:rPr>
        <w:t xml:space="preserve"> to advocate for retaining independent, architectural regulation, </w:t>
      </w:r>
      <w:r w:rsidR="005645D5">
        <w:rPr>
          <w:rFonts w:ascii="Arial" w:hAnsi="Arial" w:cs="Arial"/>
          <w:i/>
          <w:iCs/>
          <w:sz w:val="20"/>
          <w:szCs w:val="20"/>
        </w:rPr>
        <w:t>the ACA VIC/TAS Branch has</w:t>
      </w:r>
      <w:r w:rsidRPr="005645D5">
        <w:rPr>
          <w:rFonts w:ascii="Arial" w:hAnsi="Arial" w:cs="Arial"/>
          <w:i/>
          <w:iCs/>
          <w:sz w:val="20"/>
          <w:szCs w:val="20"/>
        </w:rPr>
        <w:t xml:space="preserve"> developed the suggested template below. </w:t>
      </w:r>
    </w:p>
    <w:p w14:paraId="3FE3736B" w14:textId="77777777" w:rsidR="007C7308" w:rsidRDefault="007C7308" w:rsidP="007C7308">
      <w:pPr>
        <w:pStyle w:val="NormalWeb"/>
        <w:spacing w:before="0" w:beforeAutospacing="0" w:after="160" w:afterAutospacing="0"/>
        <w:rPr>
          <w:rFonts w:ascii="Arial" w:hAnsi="Arial" w:cs="Arial"/>
          <w:sz w:val="20"/>
          <w:szCs w:val="20"/>
        </w:rPr>
      </w:pPr>
    </w:p>
    <w:p w14:paraId="31FAAA5A" w14:textId="6CA98F18" w:rsidR="007F4217" w:rsidRPr="007C7308" w:rsidRDefault="007F4217" w:rsidP="007C7308">
      <w:pPr>
        <w:pStyle w:val="NormalWeb"/>
        <w:spacing w:before="0" w:beforeAutospacing="0" w:after="160" w:afterAutospacing="0"/>
        <w:rPr>
          <w:rFonts w:ascii="Arial" w:hAnsi="Arial" w:cs="Arial"/>
          <w:sz w:val="20"/>
          <w:szCs w:val="20"/>
        </w:rPr>
      </w:pPr>
      <w:r w:rsidRPr="007C7308">
        <w:rPr>
          <w:rFonts w:ascii="Arial" w:hAnsi="Arial" w:cs="Arial"/>
          <w:sz w:val="20"/>
          <w:szCs w:val="20"/>
        </w:rPr>
        <w:t xml:space="preserve">Dear </w:t>
      </w:r>
      <w:r w:rsidRPr="00A524EE">
        <w:rPr>
          <w:rFonts w:ascii="Arial" w:hAnsi="Arial" w:cs="Arial"/>
          <w:i/>
          <w:iCs/>
          <w:sz w:val="20"/>
          <w:szCs w:val="20"/>
        </w:rPr>
        <w:t>[MP’s Name]</w:t>
      </w:r>
      <w:r w:rsidRPr="007C7308">
        <w:rPr>
          <w:rFonts w:ascii="Arial" w:hAnsi="Arial" w:cs="Arial"/>
          <w:sz w:val="20"/>
          <w:szCs w:val="20"/>
        </w:rPr>
        <w:t>,</w:t>
      </w:r>
    </w:p>
    <w:p w14:paraId="7865FADC" w14:textId="045EC21F" w:rsidR="007F4217" w:rsidRPr="007F4217" w:rsidRDefault="007F4217" w:rsidP="007C7308">
      <w:pPr>
        <w:pStyle w:val="NormalWeb"/>
        <w:spacing w:before="0" w:beforeAutospacing="0" w:after="160" w:afterAutospacing="0"/>
        <w:rPr>
          <w:rFonts w:ascii="Arial" w:hAnsi="Arial" w:cs="Arial"/>
          <w:b/>
          <w:bCs/>
          <w:sz w:val="20"/>
          <w:szCs w:val="20"/>
        </w:rPr>
      </w:pPr>
      <w:r w:rsidRPr="007F4217">
        <w:rPr>
          <w:rFonts w:ascii="Arial" w:hAnsi="Arial" w:cs="Arial"/>
          <w:b/>
          <w:bCs/>
          <w:sz w:val="20"/>
          <w:szCs w:val="20"/>
        </w:rPr>
        <w:t>ABOLITION OF THE ARCHITECTS REGISTRATION B</w:t>
      </w:r>
      <w:r w:rsidR="005645D5">
        <w:rPr>
          <w:rFonts w:ascii="Arial" w:hAnsi="Arial" w:cs="Arial"/>
          <w:b/>
          <w:bCs/>
          <w:sz w:val="20"/>
          <w:szCs w:val="20"/>
        </w:rPr>
        <w:t>OARD</w:t>
      </w:r>
      <w:r w:rsidRPr="007F4217">
        <w:rPr>
          <w:rFonts w:ascii="Arial" w:hAnsi="Arial" w:cs="Arial"/>
          <w:b/>
          <w:bCs/>
          <w:sz w:val="20"/>
          <w:szCs w:val="20"/>
        </w:rPr>
        <w:t xml:space="preserve"> OF VICTORIA </w:t>
      </w:r>
    </w:p>
    <w:p w14:paraId="7B55C4A7" w14:textId="4A07D858" w:rsidR="007F4217" w:rsidRPr="007C7308" w:rsidRDefault="007F4217" w:rsidP="007C7308">
      <w:pPr>
        <w:pStyle w:val="NormalWeb"/>
        <w:spacing w:before="0" w:beforeAutospacing="0" w:after="160" w:afterAutospacing="0"/>
        <w:rPr>
          <w:rFonts w:ascii="Arial" w:hAnsi="Arial" w:cs="Arial"/>
          <w:sz w:val="20"/>
          <w:szCs w:val="20"/>
        </w:rPr>
      </w:pPr>
      <w:r w:rsidRPr="007C7308">
        <w:rPr>
          <w:rFonts w:ascii="Arial" w:hAnsi="Arial" w:cs="Arial"/>
          <w:sz w:val="20"/>
          <w:szCs w:val="20"/>
        </w:rPr>
        <w:t xml:space="preserve">I am a </w:t>
      </w:r>
      <w:r w:rsidR="003E776B" w:rsidRPr="00A524EE">
        <w:rPr>
          <w:rFonts w:ascii="Arial" w:hAnsi="Arial" w:cs="Arial"/>
          <w:i/>
          <w:iCs/>
          <w:sz w:val="20"/>
          <w:szCs w:val="20"/>
        </w:rPr>
        <w:t>[</w:t>
      </w:r>
      <w:r w:rsidRPr="00A524EE">
        <w:rPr>
          <w:rFonts w:ascii="Arial" w:hAnsi="Arial" w:cs="Arial"/>
          <w:i/>
          <w:iCs/>
          <w:sz w:val="20"/>
          <w:szCs w:val="20"/>
        </w:rPr>
        <w:t>registered architect/ practice director</w:t>
      </w:r>
      <w:r w:rsidR="003E776B" w:rsidRPr="00A524EE">
        <w:rPr>
          <w:rFonts w:ascii="Arial" w:hAnsi="Arial" w:cs="Arial"/>
          <w:i/>
          <w:iCs/>
          <w:sz w:val="20"/>
          <w:szCs w:val="20"/>
        </w:rPr>
        <w:t>]</w:t>
      </w:r>
      <w:r w:rsidRPr="007C7308">
        <w:rPr>
          <w:rFonts w:ascii="Arial" w:hAnsi="Arial" w:cs="Arial"/>
          <w:sz w:val="20"/>
          <w:szCs w:val="20"/>
        </w:rPr>
        <w:t xml:space="preserve"> based in your electorate. I write to seek your support for the retention of the independent </w:t>
      </w:r>
      <w:r w:rsidRPr="007C7308">
        <w:rPr>
          <w:rStyle w:val="whitespace-normal"/>
          <w:rFonts w:ascii="Arial" w:eastAsiaTheme="majorEastAsia" w:hAnsi="Arial" w:cs="Arial"/>
          <w:b/>
          <w:bCs/>
          <w:sz w:val="20"/>
          <w:szCs w:val="20"/>
        </w:rPr>
        <w:t>Architects Registration Board of Victoria</w:t>
      </w:r>
      <w:r w:rsidRPr="007C7308">
        <w:rPr>
          <w:rStyle w:val="Strong"/>
          <w:rFonts w:ascii="Arial" w:eastAsiaTheme="majorEastAsia" w:hAnsi="Arial" w:cs="Arial"/>
          <w:sz w:val="20"/>
          <w:szCs w:val="20"/>
        </w:rPr>
        <w:t xml:space="preserve"> (ARBV)</w:t>
      </w:r>
      <w:r w:rsidRPr="007C7308">
        <w:rPr>
          <w:rFonts w:ascii="Arial" w:hAnsi="Arial" w:cs="Arial"/>
          <w:sz w:val="20"/>
          <w:szCs w:val="20"/>
        </w:rPr>
        <w:t xml:space="preserve"> and to express serious concern regarding any proposal to abolish it </w:t>
      </w:r>
      <w:r w:rsidRPr="00264A52">
        <w:rPr>
          <w:rFonts w:ascii="Arial" w:hAnsi="Arial" w:cs="Arial"/>
          <w:sz w:val="20"/>
          <w:szCs w:val="20"/>
        </w:rPr>
        <w:t>and</w:t>
      </w:r>
      <w:r w:rsidRPr="007C7308">
        <w:rPr>
          <w:rFonts w:ascii="Arial" w:hAnsi="Arial" w:cs="Arial"/>
          <w:sz w:val="20"/>
          <w:szCs w:val="20"/>
        </w:rPr>
        <w:t xml:space="preserve"> transfer its functions to a consolidated “super-licensing” body such as the </w:t>
      </w:r>
      <w:r w:rsidRPr="007C7308">
        <w:rPr>
          <w:rStyle w:val="whitespace-normal"/>
          <w:rFonts w:ascii="Arial" w:eastAsiaTheme="majorEastAsia" w:hAnsi="Arial" w:cs="Arial"/>
          <w:b/>
          <w:bCs/>
          <w:sz w:val="20"/>
          <w:szCs w:val="20"/>
        </w:rPr>
        <w:t>Business Licensing Authority</w:t>
      </w:r>
      <w:r w:rsidRPr="007C7308">
        <w:rPr>
          <w:rFonts w:ascii="Arial" w:hAnsi="Arial" w:cs="Arial"/>
          <w:sz w:val="20"/>
          <w:szCs w:val="20"/>
        </w:rPr>
        <w:t>.</w:t>
      </w:r>
    </w:p>
    <w:p w14:paraId="246628E4" w14:textId="77777777" w:rsidR="007F4217" w:rsidRPr="007C7308" w:rsidRDefault="007F4217" w:rsidP="007C7308">
      <w:pPr>
        <w:pStyle w:val="NormalWeb"/>
        <w:spacing w:before="0" w:beforeAutospacing="0" w:after="160" w:afterAutospacing="0"/>
        <w:rPr>
          <w:rFonts w:ascii="Arial" w:hAnsi="Arial" w:cs="Arial"/>
          <w:sz w:val="20"/>
          <w:szCs w:val="20"/>
        </w:rPr>
      </w:pPr>
      <w:r w:rsidRPr="007C7308">
        <w:rPr>
          <w:rFonts w:ascii="Arial" w:hAnsi="Arial" w:cs="Arial"/>
          <w:sz w:val="20"/>
          <w:szCs w:val="20"/>
        </w:rPr>
        <w:t xml:space="preserve">The ARBV is a specialist statutory regulator established under the </w:t>
      </w:r>
      <w:r w:rsidRPr="007C7308">
        <w:rPr>
          <w:rStyle w:val="whitespace-normal"/>
          <w:rFonts w:ascii="Arial" w:eastAsiaTheme="majorEastAsia" w:hAnsi="Arial" w:cs="Arial"/>
          <w:b/>
          <w:bCs/>
          <w:sz w:val="20"/>
          <w:szCs w:val="20"/>
        </w:rPr>
        <w:t>Architects Act 1991</w:t>
      </w:r>
      <w:r>
        <w:rPr>
          <w:rFonts w:ascii="Arial" w:hAnsi="Arial" w:cs="Arial"/>
          <w:sz w:val="20"/>
          <w:szCs w:val="20"/>
        </w:rPr>
        <w:t xml:space="preserve"> and</w:t>
      </w:r>
      <w:r w:rsidRPr="007C7308">
        <w:rPr>
          <w:rFonts w:ascii="Arial" w:hAnsi="Arial" w:cs="Arial"/>
          <w:sz w:val="20"/>
          <w:szCs w:val="20"/>
        </w:rPr>
        <w:t xml:space="preserve"> is fully funded by architect registration fees. Its existence is not a budgetary burden on government; rather, it is a profession-funded safeguard for the Victorian public.</w:t>
      </w:r>
    </w:p>
    <w:p w14:paraId="7E3B6DCB" w14:textId="77777777" w:rsidR="007F4217" w:rsidRPr="007C7308" w:rsidRDefault="007F4217" w:rsidP="007C7308">
      <w:pPr>
        <w:pStyle w:val="NormalWeb"/>
        <w:spacing w:before="0" w:beforeAutospacing="0" w:after="160" w:afterAutospacing="0"/>
        <w:rPr>
          <w:rFonts w:ascii="Arial" w:hAnsi="Arial" w:cs="Arial"/>
          <w:sz w:val="20"/>
          <w:szCs w:val="20"/>
        </w:rPr>
      </w:pPr>
      <w:r w:rsidRPr="007C7308">
        <w:rPr>
          <w:rFonts w:ascii="Arial" w:hAnsi="Arial" w:cs="Arial"/>
          <w:sz w:val="20"/>
          <w:szCs w:val="20"/>
        </w:rPr>
        <w:t>Architecture is not interchangeable with other licensed occupations. Architectural decisions shape buildings that endure for generations and directly affect public safety, health, accessibility, sustainability and consumer protection. The regulatory framework must reflect the complexity of these responsibilities, including education accreditation, registration standards, professional conduct oversight and disciplinary processes.</w:t>
      </w:r>
    </w:p>
    <w:p w14:paraId="48F00313" w14:textId="77777777" w:rsidR="007F4217" w:rsidRPr="007C7308" w:rsidRDefault="007F4217" w:rsidP="007C7308">
      <w:pPr>
        <w:pStyle w:val="NormalWeb"/>
        <w:spacing w:before="0" w:beforeAutospacing="0" w:after="160" w:afterAutospacing="0"/>
        <w:rPr>
          <w:rFonts w:ascii="Arial" w:hAnsi="Arial" w:cs="Arial"/>
          <w:sz w:val="20"/>
          <w:szCs w:val="20"/>
        </w:rPr>
      </w:pPr>
      <w:r w:rsidRPr="007C7308">
        <w:rPr>
          <w:rFonts w:ascii="Arial" w:hAnsi="Arial" w:cs="Arial"/>
          <w:sz w:val="20"/>
          <w:szCs w:val="20"/>
        </w:rPr>
        <w:t>Absorbing the ARBV into a broad licensing authority risks unintended and far-reaching consequences, including:</w:t>
      </w:r>
    </w:p>
    <w:p w14:paraId="3AB2D355" w14:textId="77777777" w:rsidR="007F4217" w:rsidRPr="00264A52" w:rsidRDefault="007F4217" w:rsidP="007C7308">
      <w:pPr>
        <w:pStyle w:val="NormalWeb"/>
        <w:numPr>
          <w:ilvl w:val="0"/>
          <w:numId w:val="1"/>
        </w:numPr>
        <w:spacing w:before="0" w:beforeAutospacing="0"/>
        <w:ind w:left="714" w:hanging="357"/>
        <w:rPr>
          <w:rFonts w:ascii="Arial" w:hAnsi="Arial" w:cs="Arial"/>
          <w:sz w:val="20"/>
          <w:szCs w:val="20"/>
        </w:rPr>
      </w:pPr>
      <w:r w:rsidRPr="007C7308">
        <w:rPr>
          <w:rFonts w:ascii="Arial" w:hAnsi="Arial" w:cs="Arial"/>
          <w:sz w:val="20"/>
          <w:szCs w:val="20"/>
        </w:rPr>
        <w:t>Significant amendment to the Architects Act 1991, potentially weakening long-standing public protections</w:t>
      </w:r>
      <w:r w:rsidRPr="00264A52">
        <w:rPr>
          <w:rFonts w:ascii="Arial" w:hAnsi="Arial" w:cs="Arial"/>
          <w:sz w:val="20"/>
          <w:szCs w:val="20"/>
        </w:rPr>
        <w:t xml:space="preserve"> and disrupting education and registration pathways</w:t>
      </w:r>
    </w:p>
    <w:p w14:paraId="79623F23" w14:textId="77777777" w:rsidR="007F4217" w:rsidRPr="007C7308" w:rsidRDefault="007F4217" w:rsidP="007C7308">
      <w:pPr>
        <w:pStyle w:val="NormalWeb"/>
        <w:numPr>
          <w:ilvl w:val="0"/>
          <w:numId w:val="1"/>
        </w:numPr>
        <w:rPr>
          <w:rFonts w:ascii="Arial" w:hAnsi="Arial" w:cs="Arial"/>
          <w:sz w:val="20"/>
          <w:szCs w:val="20"/>
        </w:rPr>
      </w:pPr>
      <w:r w:rsidRPr="007C7308">
        <w:rPr>
          <w:rFonts w:ascii="Arial" w:hAnsi="Arial" w:cs="Arial"/>
          <w:sz w:val="20"/>
          <w:szCs w:val="20"/>
        </w:rPr>
        <w:t>Erosion of the profession-specific Code of Conduct and enforceable standards</w:t>
      </w:r>
    </w:p>
    <w:p w14:paraId="491D2B0F" w14:textId="77777777" w:rsidR="007F4217" w:rsidRPr="007C7308" w:rsidRDefault="007F4217" w:rsidP="007C7308">
      <w:pPr>
        <w:pStyle w:val="NormalWeb"/>
        <w:numPr>
          <w:ilvl w:val="0"/>
          <w:numId w:val="1"/>
        </w:numPr>
        <w:rPr>
          <w:rFonts w:ascii="Arial" w:hAnsi="Arial" w:cs="Arial"/>
          <w:sz w:val="20"/>
          <w:szCs w:val="20"/>
        </w:rPr>
      </w:pPr>
      <w:r w:rsidRPr="007C7308">
        <w:rPr>
          <w:rFonts w:ascii="Arial" w:hAnsi="Arial" w:cs="Arial"/>
          <w:sz w:val="20"/>
          <w:szCs w:val="20"/>
        </w:rPr>
        <w:t>Loss of specialist expertise in regulatory and disciplinary decision-making</w:t>
      </w:r>
    </w:p>
    <w:p w14:paraId="7F09B656" w14:textId="77777777" w:rsidR="007F4217" w:rsidRPr="00264A52" w:rsidRDefault="007F4217" w:rsidP="007C7308">
      <w:pPr>
        <w:pStyle w:val="NormalWeb"/>
        <w:numPr>
          <w:ilvl w:val="0"/>
          <w:numId w:val="1"/>
        </w:numPr>
        <w:rPr>
          <w:rFonts w:ascii="Arial" w:hAnsi="Arial" w:cs="Arial"/>
          <w:sz w:val="20"/>
          <w:szCs w:val="20"/>
        </w:rPr>
      </w:pPr>
      <w:r w:rsidRPr="007C7308">
        <w:rPr>
          <w:rFonts w:ascii="Arial" w:hAnsi="Arial" w:cs="Arial"/>
          <w:sz w:val="20"/>
          <w:szCs w:val="20"/>
        </w:rPr>
        <w:t>Disruption to Victoria’s participation in the national accreditation system for architectural education</w:t>
      </w:r>
    </w:p>
    <w:p w14:paraId="32A503EB" w14:textId="77777777" w:rsidR="007F4217" w:rsidRPr="00264A52" w:rsidRDefault="007F4217" w:rsidP="007C7308">
      <w:pPr>
        <w:pStyle w:val="NormalWeb"/>
        <w:numPr>
          <w:ilvl w:val="0"/>
          <w:numId w:val="1"/>
        </w:numPr>
        <w:rPr>
          <w:rFonts w:ascii="Arial" w:hAnsi="Arial" w:cs="Arial"/>
          <w:sz w:val="20"/>
          <w:szCs w:val="20"/>
        </w:rPr>
      </w:pPr>
      <w:r w:rsidRPr="007C7308">
        <w:rPr>
          <w:rFonts w:ascii="Arial" w:hAnsi="Arial" w:cs="Arial"/>
          <w:sz w:val="20"/>
          <w:szCs w:val="20"/>
        </w:rPr>
        <w:t>Risk to the accreditation status of Victorian university programs</w:t>
      </w:r>
    </w:p>
    <w:p w14:paraId="7F941FD1" w14:textId="77777777" w:rsidR="007F4217" w:rsidRPr="00264A52" w:rsidRDefault="007F4217" w:rsidP="007C7308">
      <w:pPr>
        <w:pStyle w:val="NormalWeb"/>
        <w:numPr>
          <w:ilvl w:val="0"/>
          <w:numId w:val="1"/>
        </w:numPr>
        <w:rPr>
          <w:rFonts w:ascii="Arial" w:hAnsi="Arial" w:cs="Arial"/>
          <w:sz w:val="20"/>
          <w:szCs w:val="20"/>
        </w:rPr>
      </w:pPr>
      <w:r w:rsidRPr="00264A52">
        <w:rPr>
          <w:rFonts w:ascii="Arial" w:hAnsi="Arial" w:cs="Arial"/>
          <w:sz w:val="20"/>
          <w:szCs w:val="20"/>
        </w:rPr>
        <w:t>Damage to Victoria’s reputation as a destination for International Students and subsequent loss of both domestic and international architectural students from Victorian Universities</w:t>
      </w:r>
    </w:p>
    <w:p w14:paraId="70957FC5" w14:textId="77777777" w:rsidR="007F4217" w:rsidRPr="00264A52" w:rsidRDefault="007F4217" w:rsidP="007C7308">
      <w:pPr>
        <w:pStyle w:val="NormalWeb"/>
        <w:numPr>
          <w:ilvl w:val="0"/>
          <w:numId w:val="1"/>
        </w:numPr>
        <w:rPr>
          <w:rFonts w:ascii="Arial" w:hAnsi="Arial" w:cs="Arial"/>
          <w:sz w:val="20"/>
          <w:szCs w:val="20"/>
        </w:rPr>
      </w:pPr>
      <w:r w:rsidRPr="00264A52">
        <w:rPr>
          <w:rFonts w:ascii="Arial" w:hAnsi="Arial" w:cs="Arial"/>
          <w:sz w:val="20"/>
          <w:szCs w:val="20"/>
        </w:rPr>
        <w:t>A decline in graduates progressing toward registration with long-term impacts on the skilled workforce required for housing and infrastructure delivery.</w:t>
      </w:r>
    </w:p>
    <w:p w14:paraId="3253A9AB" w14:textId="77777777" w:rsidR="007F4217" w:rsidRPr="00264A52" w:rsidRDefault="007F4217" w:rsidP="007C7308">
      <w:pPr>
        <w:pStyle w:val="NormalWeb"/>
        <w:numPr>
          <w:ilvl w:val="0"/>
          <w:numId w:val="1"/>
        </w:numPr>
        <w:rPr>
          <w:rFonts w:ascii="Arial" w:hAnsi="Arial" w:cs="Arial"/>
          <w:sz w:val="20"/>
          <w:szCs w:val="20"/>
        </w:rPr>
      </w:pPr>
      <w:r w:rsidRPr="00264A52">
        <w:rPr>
          <w:rFonts w:ascii="Arial" w:hAnsi="Arial" w:cs="Arial"/>
          <w:sz w:val="20"/>
          <w:szCs w:val="20"/>
        </w:rPr>
        <w:t xml:space="preserve">Consequent inability of future graduates to qualify for work in other states or internationally. </w:t>
      </w:r>
    </w:p>
    <w:p w14:paraId="4EA0DDC3" w14:textId="77777777" w:rsidR="007F4217" w:rsidRPr="00264A52" w:rsidRDefault="007F4217" w:rsidP="007C7308">
      <w:pPr>
        <w:pStyle w:val="NormalWeb"/>
        <w:spacing w:before="0" w:beforeAutospacing="0" w:after="160" w:afterAutospacing="0"/>
        <w:rPr>
          <w:rFonts w:ascii="Arial" w:hAnsi="Arial" w:cs="Arial"/>
          <w:sz w:val="20"/>
          <w:szCs w:val="20"/>
        </w:rPr>
      </w:pPr>
      <w:r w:rsidRPr="00264A52">
        <w:rPr>
          <w:rFonts w:ascii="Arial" w:hAnsi="Arial" w:cs="Arial"/>
          <w:sz w:val="20"/>
          <w:szCs w:val="20"/>
        </w:rPr>
        <w:t>Victoria has long been recognised for strong, independent professional regulation in architecture. Weakening or subsuming that framework risks undermining both public protection and the state’s standing in national and international education and practice.</w:t>
      </w:r>
    </w:p>
    <w:p w14:paraId="0C68571D" w14:textId="77777777" w:rsidR="007F4217" w:rsidRPr="00264A52" w:rsidRDefault="007F4217" w:rsidP="007C7308">
      <w:pPr>
        <w:pStyle w:val="NormalWeb"/>
        <w:spacing w:before="0" w:beforeAutospacing="0" w:after="160" w:afterAutospacing="0"/>
        <w:rPr>
          <w:rFonts w:ascii="Arial" w:hAnsi="Arial" w:cs="Arial"/>
          <w:sz w:val="20"/>
          <w:szCs w:val="20"/>
        </w:rPr>
      </w:pPr>
      <w:r w:rsidRPr="00264A52">
        <w:rPr>
          <w:rFonts w:ascii="Arial" w:hAnsi="Arial" w:cs="Arial"/>
          <w:sz w:val="20"/>
          <w:szCs w:val="20"/>
        </w:rPr>
        <w:t>I respectfully ask that you support the retention of an independent, specialist architectural regulator and oppose any measures that would abolish the ARBV or dilute its statutory role</w:t>
      </w:r>
      <w:r>
        <w:rPr>
          <w:rFonts w:ascii="Arial" w:hAnsi="Arial" w:cs="Arial"/>
          <w:sz w:val="20"/>
          <w:szCs w:val="20"/>
        </w:rPr>
        <w:t>,</w:t>
      </w:r>
      <w:r w:rsidRPr="00264A52">
        <w:rPr>
          <w:rFonts w:ascii="Arial" w:hAnsi="Arial" w:cs="Arial"/>
          <w:sz w:val="20"/>
          <w:szCs w:val="20"/>
        </w:rPr>
        <w:t xml:space="preserve"> irrespective of the Government Department or Agency it is made responsible to.</w:t>
      </w:r>
    </w:p>
    <w:p w14:paraId="19E29BC6" w14:textId="77777777" w:rsidR="007F4217" w:rsidRPr="00264A52" w:rsidRDefault="007F4217" w:rsidP="007C7308">
      <w:pPr>
        <w:pStyle w:val="NormalWeb"/>
        <w:spacing w:before="0" w:beforeAutospacing="0" w:after="160" w:afterAutospacing="0"/>
        <w:rPr>
          <w:rFonts w:ascii="Arial" w:hAnsi="Arial" w:cs="Arial"/>
          <w:sz w:val="20"/>
          <w:szCs w:val="20"/>
        </w:rPr>
      </w:pPr>
      <w:r w:rsidRPr="00264A52">
        <w:rPr>
          <w:rFonts w:ascii="Arial" w:hAnsi="Arial" w:cs="Arial"/>
          <w:sz w:val="20"/>
          <w:szCs w:val="20"/>
        </w:rPr>
        <w:t>I would welcome the opportunity to meet with you to discuss this matter further and provide any additional information that may assist.</w:t>
      </w:r>
    </w:p>
    <w:p w14:paraId="0B11D9A2" w14:textId="77777777" w:rsidR="007F4217" w:rsidRPr="00264A52" w:rsidRDefault="007F4217" w:rsidP="007C7308">
      <w:pPr>
        <w:pStyle w:val="NormalWeb"/>
        <w:spacing w:before="0" w:beforeAutospacing="0" w:after="160" w:afterAutospacing="0"/>
        <w:rPr>
          <w:rFonts w:ascii="Arial" w:hAnsi="Arial" w:cs="Arial"/>
          <w:sz w:val="20"/>
          <w:szCs w:val="20"/>
        </w:rPr>
      </w:pPr>
      <w:r w:rsidRPr="00264A52">
        <w:rPr>
          <w:rFonts w:ascii="Arial" w:hAnsi="Arial" w:cs="Arial"/>
          <w:sz w:val="20"/>
          <w:szCs w:val="20"/>
        </w:rPr>
        <w:t>Yours sincerely,</w:t>
      </w:r>
    </w:p>
    <w:p w14:paraId="524535D4" w14:textId="2A1053F1" w:rsidR="007F4217" w:rsidRPr="00A524EE" w:rsidRDefault="007F4217" w:rsidP="007F4217">
      <w:pPr>
        <w:pStyle w:val="NormalWeb"/>
        <w:rPr>
          <w:rFonts w:ascii="Arial" w:hAnsi="Arial" w:cs="Arial"/>
          <w:i/>
          <w:iCs/>
          <w:sz w:val="20"/>
          <w:szCs w:val="20"/>
        </w:rPr>
      </w:pPr>
      <w:r w:rsidRPr="00A524EE">
        <w:rPr>
          <w:rFonts w:ascii="Arial" w:hAnsi="Arial" w:cs="Arial"/>
          <w:i/>
          <w:iCs/>
          <w:sz w:val="20"/>
          <w:szCs w:val="20"/>
        </w:rPr>
        <w:t>[Name]</w:t>
      </w:r>
      <w:r w:rsidRPr="00A524EE">
        <w:rPr>
          <w:rFonts w:ascii="Arial" w:hAnsi="Arial" w:cs="Arial"/>
          <w:i/>
          <w:iCs/>
          <w:sz w:val="20"/>
          <w:szCs w:val="20"/>
        </w:rPr>
        <w:br/>
        <w:t>[Registration Number]</w:t>
      </w:r>
      <w:r w:rsidRPr="00A524EE">
        <w:rPr>
          <w:rFonts w:ascii="Arial" w:hAnsi="Arial" w:cs="Arial"/>
          <w:i/>
          <w:iCs/>
          <w:sz w:val="20"/>
          <w:szCs w:val="20"/>
        </w:rPr>
        <w:br/>
        <w:t>[Practice Name]</w:t>
      </w:r>
      <w:r w:rsidRPr="00A524EE">
        <w:rPr>
          <w:rFonts w:ascii="Arial" w:hAnsi="Arial" w:cs="Arial"/>
          <w:i/>
          <w:iCs/>
          <w:sz w:val="20"/>
          <w:szCs w:val="20"/>
        </w:rPr>
        <w:br/>
        <w:t>[Contact Details]</w:t>
      </w:r>
    </w:p>
    <w:sectPr w:rsidR="007F4217" w:rsidRPr="00A524EE" w:rsidSect="00AE76D0">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34ED" w14:textId="77777777" w:rsidR="00B63B55" w:rsidRDefault="00B63B55" w:rsidP="007F4217">
      <w:pPr>
        <w:spacing w:after="0" w:line="240" w:lineRule="auto"/>
      </w:pPr>
      <w:r>
        <w:separator/>
      </w:r>
    </w:p>
  </w:endnote>
  <w:endnote w:type="continuationSeparator" w:id="0">
    <w:p w14:paraId="6287C63F" w14:textId="77777777" w:rsidR="00B63B55" w:rsidRDefault="00B63B55" w:rsidP="007F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98F6" w14:textId="77777777" w:rsidR="00B63B55" w:rsidRDefault="00B63B55" w:rsidP="007F4217">
      <w:pPr>
        <w:spacing w:after="0" w:line="240" w:lineRule="auto"/>
      </w:pPr>
      <w:r>
        <w:separator/>
      </w:r>
    </w:p>
  </w:footnote>
  <w:footnote w:type="continuationSeparator" w:id="0">
    <w:p w14:paraId="33FF6859" w14:textId="77777777" w:rsidR="00B63B55" w:rsidRDefault="00B63B55" w:rsidP="007F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1273" w14:textId="797CEF0F" w:rsidR="007F4217" w:rsidRDefault="007F4217">
    <w:pPr>
      <w:pStyle w:val="Header"/>
    </w:pPr>
  </w:p>
  <w:p w14:paraId="38F9FF95" w14:textId="48EBFB80" w:rsidR="007F4217" w:rsidRDefault="007F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0DB1"/>
    <w:multiLevelType w:val="multilevel"/>
    <w:tmpl w:val="E25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3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17"/>
    <w:rsid w:val="003E776B"/>
    <w:rsid w:val="005121AD"/>
    <w:rsid w:val="005645D5"/>
    <w:rsid w:val="007C7308"/>
    <w:rsid w:val="007F4217"/>
    <w:rsid w:val="00887C7E"/>
    <w:rsid w:val="008E0F95"/>
    <w:rsid w:val="00A215FF"/>
    <w:rsid w:val="00A336C7"/>
    <w:rsid w:val="00A524EE"/>
    <w:rsid w:val="00AE76D0"/>
    <w:rsid w:val="00B63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A80B3"/>
  <w15:chartTrackingRefBased/>
  <w15:docId w15:val="{55445485-C396-4CDC-8FF4-82662A63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17"/>
  </w:style>
  <w:style w:type="paragraph" w:styleId="Heading1">
    <w:name w:val="heading 1"/>
    <w:basedOn w:val="Normal"/>
    <w:next w:val="Normal"/>
    <w:link w:val="Heading1Char"/>
    <w:uiPriority w:val="9"/>
    <w:qFormat/>
    <w:rsid w:val="007F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217"/>
    <w:rPr>
      <w:rFonts w:eastAsiaTheme="majorEastAsia" w:cstheme="majorBidi"/>
      <w:color w:val="272727" w:themeColor="text1" w:themeTint="D8"/>
    </w:rPr>
  </w:style>
  <w:style w:type="paragraph" w:styleId="Title">
    <w:name w:val="Title"/>
    <w:basedOn w:val="Normal"/>
    <w:next w:val="Normal"/>
    <w:link w:val="TitleChar"/>
    <w:uiPriority w:val="10"/>
    <w:qFormat/>
    <w:rsid w:val="007F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217"/>
    <w:pPr>
      <w:spacing w:before="160"/>
      <w:jc w:val="center"/>
    </w:pPr>
    <w:rPr>
      <w:i/>
      <w:iCs/>
      <w:color w:val="404040" w:themeColor="text1" w:themeTint="BF"/>
    </w:rPr>
  </w:style>
  <w:style w:type="character" w:customStyle="1" w:styleId="QuoteChar">
    <w:name w:val="Quote Char"/>
    <w:basedOn w:val="DefaultParagraphFont"/>
    <w:link w:val="Quote"/>
    <w:uiPriority w:val="29"/>
    <w:rsid w:val="007F4217"/>
    <w:rPr>
      <w:i/>
      <w:iCs/>
      <w:color w:val="404040" w:themeColor="text1" w:themeTint="BF"/>
    </w:rPr>
  </w:style>
  <w:style w:type="paragraph" w:styleId="ListParagraph">
    <w:name w:val="List Paragraph"/>
    <w:basedOn w:val="Normal"/>
    <w:uiPriority w:val="34"/>
    <w:qFormat/>
    <w:rsid w:val="007F4217"/>
    <w:pPr>
      <w:ind w:left="720"/>
      <w:contextualSpacing/>
    </w:pPr>
  </w:style>
  <w:style w:type="character" w:styleId="IntenseEmphasis">
    <w:name w:val="Intense Emphasis"/>
    <w:basedOn w:val="DefaultParagraphFont"/>
    <w:uiPriority w:val="21"/>
    <w:qFormat/>
    <w:rsid w:val="007F4217"/>
    <w:rPr>
      <w:i/>
      <w:iCs/>
      <w:color w:val="0F4761" w:themeColor="accent1" w:themeShade="BF"/>
    </w:rPr>
  </w:style>
  <w:style w:type="paragraph" w:styleId="IntenseQuote">
    <w:name w:val="Intense Quote"/>
    <w:basedOn w:val="Normal"/>
    <w:next w:val="Normal"/>
    <w:link w:val="IntenseQuoteChar"/>
    <w:uiPriority w:val="30"/>
    <w:qFormat/>
    <w:rsid w:val="007F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217"/>
    <w:rPr>
      <w:i/>
      <w:iCs/>
      <w:color w:val="0F4761" w:themeColor="accent1" w:themeShade="BF"/>
    </w:rPr>
  </w:style>
  <w:style w:type="character" w:styleId="IntenseReference">
    <w:name w:val="Intense Reference"/>
    <w:basedOn w:val="DefaultParagraphFont"/>
    <w:uiPriority w:val="32"/>
    <w:qFormat/>
    <w:rsid w:val="007F4217"/>
    <w:rPr>
      <w:b/>
      <w:bCs/>
      <w:smallCaps/>
      <w:color w:val="0F4761" w:themeColor="accent1" w:themeShade="BF"/>
      <w:spacing w:val="5"/>
    </w:rPr>
  </w:style>
  <w:style w:type="paragraph" w:styleId="NormalWeb">
    <w:name w:val="Normal (Web)"/>
    <w:basedOn w:val="Normal"/>
    <w:uiPriority w:val="99"/>
    <w:unhideWhenUsed/>
    <w:rsid w:val="007F421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7F4217"/>
    <w:rPr>
      <w:b/>
      <w:bCs/>
    </w:rPr>
  </w:style>
  <w:style w:type="character" w:customStyle="1" w:styleId="whitespace-normal">
    <w:name w:val="whitespace-normal"/>
    <w:basedOn w:val="DefaultParagraphFont"/>
    <w:rsid w:val="007F4217"/>
  </w:style>
  <w:style w:type="paragraph" w:styleId="Header">
    <w:name w:val="header"/>
    <w:basedOn w:val="Normal"/>
    <w:link w:val="HeaderChar"/>
    <w:uiPriority w:val="99"/>
    <w:unhideWhenUsed/>
    <w:rsid w:val="007F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217"/>
  </w:style>
  <w:style w:type="paragraph" w:styleId="Footer">
    <w:name w:val="footer"/>
    <w:basedOn w:val="Normal"/>
    <w:link w:val="FooterChar"/>
    <w:uiPriority w:val="99"/>
    <w:unhideWhenUsed/>
    <w:rsid w:val="007F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217"/>
  </w:style>
  <w:style w:type="character" w:styleId="Hyperlink">
    <w:name w:val="Hyperlink"/>
    <w:basedOn w:val="DefaultParagraphFont"/>
    <w:uiPriority w:val="99"/>
    <w:unhideWhenUsed/>
    <w:rsid w:val="005645D5"/>
    <w:rPr>
      <w:color w:val="467886" w:themeColor="hyperlink"/>
      <w:u w:val="single"/>
    </w:rPr>
  </w:style>
  <w:style w:type="character" w:styleId="UnresolvedMention">
    <w:name w:val="Unresolved Mention"/>
    <w:basedOn w:val="DefaultParagraphFont"/>
    <w:uiPriority w:val="99"/>
    <w:semiHidden/>
    <w:unhideWhenUsed/>
    <w:rsid w:val="00564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liament.vic.gov.au/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ygosse</dc:creator>
  <cp:keywords/>
  <dc:description/>
  <cp:lastModifiedBy>katherine ygosse</cp:lastModifiedBy>
  <cp:revision>4</cp:revision>
  <dcterms:created xsi:type="dcterms:W3CDTF">2026-02-23T05:50:00Z</dcterms:created>
  <dcterms:modified xsi:type="dcterms:W3CDTF">2026-02-23T05:51:00Z</dcterms:modified>
</cp:coreProperties>
</file>